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63" w:rsidRPr="001919A3" w:rsidRDefault="00CB5E11" w:rsidP="001919A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19A3">
        <w:rPr>
          <w:rFonts w:ascii="Times New Roman" w:hAnsi="Times New Roman" w:cs="Times New Roman"/>
          <w:b/>
          <w:sz w:val="32"/>
          <w:szCs w:val="32"/>
        </w:rPr>
        <w:t>Grading System</w:t>
      </w:r>
      <w:r w:rsidR="00785A73" w:rsidRPr="001919A3">
        <w:rPr>
          <w:rFonts w:ascii="Times New Roman" w:hAnsi="Times New Roman" w:cs="Times New Roman"/>
          <w:b/>
          <w:sz w:val="32"/>
          <w:szCs w:val="32"/>
        </w:rPr>
        <w:t xml:space="preserve"> of Chengdu University</w:t>
      </w:r>
    </w:p>
    <w:p w:rsidR="00785A73" w:rsidRPr="001919A3" w:rsidRDefault="00785A73">
      <w:pPr>
        <w:rPr>
          <w:rFonts w:ascii="Times New Roman" w:hAnsi="Times New Roman" w:cs="Times New Roman"/>
          <w:szCs w:val="21"/>
        </w:rPr>
      </w:pPr>
    </w:p>
    <w:p w:rsidR="0099545D" w:rsidRPr="001919A3" w:rsidRDefault="0099545D">
      <w:pPr>
        <w:rPr>
          <w:rFonts w:ascii="Times New Roman" w:hAnsi="Times New Roman" w:cs="Times New Roman"/>
          <w:szCs w:val="21"/>
        </w:rPr>
      </w:pPr>
    </w:p>
    <w:p w:rsidR="0099545D" w:rsidRPr="001919A3" w:rsidRDefault="0099545D">
      <w:pPr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 xml:space="preserve">Credit </w:t>
      </w:r>
      <w:r w:rsidRPr="001919A3">
        <w:rPr>
          <w:rFonts w:ascii="Times New Roman" w:hAnsi="Times New Roman" w:cs="Times New Roman"/>
          <w:szCs w:val="21"/>
        </w:rPr>
        <w:t>Grade Point</w:t>
      </w:r>
      <w:r w:rsidRPr="001919A3">
        <w:rPr>
          <w:rFonts w:ascii="Times New Roman" w:hAnsi="Times New Roman" w:cs="Times New Roman"/>
          <w:szCs w:val="21"/>
        </w:rPr>
        <w:t xml:space="preserve"> and </w:t>
      </w:r>
      <w:r w:rsidRPr="001919A3">
        <w:rPr>
          <w:rFonts w:ascii="Times New Roman" w:hAnsi="Times New Roman" w:cs="Times New Roman"/>
          <w:szCs w:val="21"/>
        </w:rPr>
        <w:t>Grade-Point Average</w:t>
      </w:r>
      <w:r w:rsidRPr="001919A3">
        <w:rPr>
          <w:rFonts w:ascii="Times New Roman" w:hAnsi="Times New Roman" w:cs="Times New Roman"/>
          <w:szCs w:val="21"/>
        </w:rPr>
        <w:t xml:space="preserve"> are effective and important standards to evaluate students’ academic performance which are widely used all over the world. In order to accurately describe students’ performance</w:t>
      </w:r>
      <w:r w:rsidR="00E4503B" w:rsidRPr="001919A3">
        <w:rPr>
          <w:rFonts w:ascii="Times New Roman" w:hAnsi="Times New Roman" w:cs="Times New Roman"/>
          <w:szCs w:val="21"/>
        </w:rPr>
        <w:t xml:space="preserve"> and</w:t>
      </w:r>
      <w:r w:rsidRPr="001919A3">
        <w:rPr>
          <w:rFonts w:ascii="Times New Roman" w:hAnsi="Times New Roman" w:cs="Times New Roman"/>
          <w:szCs w:val="21"/>
        </w:rPr>
        <w:t xml:space="preserve"> satisfy the needs of </w:t>
      </w:r>
      <w:r w:rsidRPr="001919A3">
        <w:rPr>
          <w:rFonts w:ascii="Times New Roman" w:hAnsi="Times New Roman" w:cs="Times New Roman"/>
          <w:szCs w:val="21"/>
        </w:rPr>
        <w:t>exchange study</w:t>
      </w:r>
      <w:r w:rsidRPr="001919A3">
        <w:rPr>
          <w:rFonts w:ascii="Times New Roman" w:hAnsi="Times New Roman" w:cs="Times New Roman"/>
          <w:szCs w:val="21"/>
        </w:rPr>
        <w:t xml:space="preserve">, </w:t>
      </w:r>
      <w:r w:rsidR="00A40D23" w:rsidRPr="001919A3">
        <w:rPr>
          <w:rFonts w:ascii="Times New Roman" w:hAnsi="Times New Roman" w:cs="Times New Roman"/>
          <w:szCs w:val="21"/>
        </w:rPr>
        <w:t xml:space="preserve">we established this </w:t>
      </w:r>
      <w:r w:rsidR="007D7D16" w:rsidRPr="001919A3">
        <w:rPr>
          <w:rFonts w:ascii="Times New Roman" w:hAnsi="Times New Roman" w:cs="Times New Roman"/>
          <w:szCs w:val="21"/>
        </w:rPr>
        <w:t>system</w:t>
      </w:r>
      <w:r w:rsidR="00570594" w:rsidRPr="001919A3">
        <w:rPr>
          <w:rFonts w:ascii="Times New Roman" w:hAnsi="Times New Roman" w:cs="Times New Roman"/>
          <w:szCs w:val="21"/>
        </w:rPr>
        <w:t xml:space="preserve"> according to Credit System and Student Status Management Regulations of </w:t>
      </w:r>
      <w:r w:rsidR="00570594" w:rsidRPr="001919A3">
        <w:rPr>
          <w:rFonts w:ascii="Times New Roman" w:hAnsi="Times New Roman" w:cs="Times New Roman"/>
          <w:szCs w:val="21"/>
        </w:rPr>
        <w:t>Chengdu University</w:t>
      </w:r>
      <w:r w:rsidR="006D4E4D" w:rsidRPr="001919A3">
        <w:rPr>
          <w:rFonts w:ascii="Times New Roman" w:hAnsi="Times New Roman" w:cs="Times New Roman"/>
          <w:szCs w:val="21"/>
        </w:rPr>
        <w:t>.</w:t>
      </w:r>
    </w:p>
    <w:p w:rsidR="00E4769C" w:rsidRPr="001919A3" w:rsidRDefault="00E4769C">
      <w:pPr>
        <w:rPr>
          <w:rFonts w:ascii="Times New Roman" w:hAnsi="Times New Roman" w:cs="Times New Roman"/>
          <w:szCs w:val="21"/>
        </w:rPr>
      </w:pPr>
    </w:p>
    <w:p w:rsidR="00E4769C" w:rsidRPr="001919A3" w:rsidRDefault="008570E2" w:rsidP="0015759B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>Comparison of F</w:t>
      </w:r>
      <w:r w:rsidR="0015759B" w:rsidRPr="001919A3">
        <w:rPr>
          <w:rFonts w:ascii="Times New Roman" w:hAnsi="Times New Roman" w:cs="Times New Roman"/>
          <w:szCs w:val="21"/>
        </w:rPr>
        <w:t>ive</w:t>
      </w:r>
      <w:r w:rsidRPr="001919A3">
        <w:rPr>
          <w:rFonts w:ascii="Times New Roman" w:hAnsi="Times New Roman" w:cs="Times New Roman"/>
          <w:szCs w:val="21"/>
        </w:rPr>
        <w:t>-</w:t>
      </w:r>
      <w:r w:rsidR="002E15DC" w:rsidRPr="001919A3">
        <w:rPr>
          <w:rFonts w:ascii="Times New Roman" w:hAnsi="Times New Roman" w:cs="Times New Roman"/>
          <w:szCs w:val="21"/>
        </w:rPr>
        <w:t>level</w:t>
      </w:r>
      <w:r w:rsidR="0015759B" w:rsidRPr="001919A3">
        <w:rPr>
          <w:rFonts w:ascii="Times New Roman" w:hAnsi="Times New Roman" w:cs="Times New Roman"/>
          <w:szCs w:val="21"/>
        </w:rPr>
        <w:t xml:space="preserve"> </w:t>
      </w:r>
      <w:r w:rsidRPr="001919A3">
        <w:rPr>
          <w:rFonts w:ascii="Times New Roman" w:hAnsi="Times New Roman" w:cs="Times New Roman"/>
          <w:szCs w:val="21"/>
        </w:rPr>
        <w:t>S</w:t>
      </w:r>
      <w:r w:rsidR="0015759B" w:rsidRPr="001919A3">
        <w:rPr>
          <w:rFonts w:ascii="Times New Roman" w:hAnsi="Times New Roman" w:cs="Times New Roman"/>
          <w:szCs w:val="21"/>
        </w:rPr>
        <w:t xml:space="preserve">cale and 100 percent </w:t>
      </w:r>
      <w:r w:rsidR="005835D7" w:rsidRPr="001919A3">
        <w:rPr>
          <w:rFonts w:ascii="Times New Roman" w:hAnsi="Times New Roman" w:cs="Times New Roman"/>
          <w:szCs w:val="21"/>
        </w:rPr>
        <w:t>S</w:t>
      </w:r>
      <w:r w:rsidR="0015759B" w:rsidRPr="001919A3">
        <w:rPr>
          <w:rFonts w:ascii="Times New Roman" w:hAnsi="Times New Roman" w:cs="Times New Roman"/>
          <w:szCs w:val="21"/>
        </w:rPr>
        <w:t xml:space="preserve">cale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319"/>
        <w:gridCol w:w="1421"/>
        <w:gridCol w:w="1421"/>
      </w:tblGrid>
      <w:tr w:rsidR="00FE34C6" w:rsidRPr="001919A3" w:rsidTr="007670D3">
        <w:tc>
          <w:tcPr>
            <w:tcW w:w="1809" w:type="dxa"/>
            <w:vAlign w:val="center"/>
          </w:tcPr>
          <w:p w:rsidR="00FE34C6" w:rsidRPr="001919A3" w:rsidRDefault="00CF0115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Five-</w:t>
            </w:r>
            <w:r w:rsidR="00D144E9" w:rsidRPr="001919A3">
              <w:rPr>
                <w:rFonts w:ascii="Times New Roman" w:hAnsi="Times New Roman" w:cs="Times New Roman"/>
                <w:szCs w:val="21"/>
              </w:rPr>
              <w:t xml:space="preserve">level </w:t>
            </w:r>
            <w:r w:rsidRPr="001919A3">
              <w:rPr>
                <w:rFonts w:ascii="Times New Roman" w:hAnsi="Times New Roman" w:cs="Times New Roman"/>
                <w:szCs w:val="21"/>
              </w:rPr>
              <w:t>Scale</w:t>
            </w:r>
          </w:p>
        </w:tc>
        <w:tc>
          <w:tcPr>
            <w:tcW w:w="1276" w:type="dxa"/>
            <w:vAlign w:val="center"/>
          </w:tcPr>
          <w:p w:rsidR="00FE34C6" w:rsidRPr="001919A3" w:rsidRDefault="000E2434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Excellent</w:t>
            </w:r>
          </w:p>
        </w:tc>
        <w:tc>
          <w:tcPr>
            <w:tcW w:w="1276" w:type="dxa"/>
            <w:vAlign w:val="center"/>
          </w:tcPr>
          <w:p w:rsidR="00FE34C6" w:rsidRPr="001919A3" w:rsidRDefault="000E2434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Good</w:t>
            </w:r>
          </w:p>
        </w:tc>
        <w:tc>
          <w:tcPr>
            <w:tcW w:w="1319" w:type="dxa"/>
            <w:vAlign w:val="center"/>
          </w:tcPr>
          <w:p w:rsidR="00FE34C6" w:rsidRPr="001919A3" w:rsidRDefault="000E2434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Medium</w:t>
            </w:r>
          </w:p>
        </w:tc>
        <w:tc>
          <w:tcPr>
            <w:tcW w:w="1421" w:type="dxa"/>
            <w:vAlign w:val="center"/>
          </w:tcPr>
          <w:p w:rsidR="00FE34C6" w:rsidRPr="001919A3" w:rsidRDefault="000E2434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Pass</w:t>
            </w:r>
          </w:p>
        </w:tc>
        <w:tc>
          <w:tcPr>
            <w:tcW w:w="1421" w:type="dxa"/>
            <w:vAlign w:val="center"/>
          </w:tcPr>
          <w:p w:rsidR="00FE34C6" w:rsidRPr="001919A3" w:rsidRDefault="000E2434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Fail</w:t>
            </w:r>
          </w:p>
        </w:tc>
      </w:tr>
      <w:tr w:rsidR="00FE34C6" w:rsidRPr="001919A3" w:rsidTr="007670D3">
        <w:tc>
          <w:tcPr>
            <w:tcW w:w="1809" w:type="dxa"/>
            <w:vAlign w:val="center"/>
          </w:tcPr>
          <w:p w:rsidR="00FE34C6" w:rsidRPr="001919A3" w:rsidRDefault="00CF0115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100 percent Scale</w:t>
            </w:r>
          </w:p>
        </w:tc>
        <w:tc>
          <w:tcPr>
            <w:tcW w:w="1276" w:type="dxa"/>
            <w:vAlign w:val="center"/>
          </w:tcPr>
          <w:p w:rsidR="00FE34C6" w:rsidRPr="001919A3" w:rsidRDefault="00AD35D3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95</w:t>
            </w:r>
          </w:p>
        </w:tc>
        <w:tc>
          <w:tcPr>
            <w:tcW w:w="1276" w:type="dxa"/>
            <w:vAlign w:val="center"/>
          </w:tcPr>
          <w:p w:rsidR="00FE34C6" w:rsidRPr="001919A3" w:rsidRDefault="00AD35D3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85</w:t>
            </w:r>
          </w:p>
        </w:tc>
        <w:tc>
          <w:tcPr>
            <w:tcW w:w="1319" w:type="dxa"/>
            <w:vAlign w:val="center"/>
          </w:tcPr>
          <w:p w:rsidR="00FE34C6" w:rsidRPr="001919A3" w:rsidRDefault="00F6409A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75</w:t>
            </w:r>
          </w:p>
        </w:tc>
        <w:tc>
          <w:tcPr>
            <w:tcW w:w="1421" w:type="dxa"/>
            <w:vAlign w:val="center"/>
          </w:tcPr>
          <w:p w:rsidR="00FE34C6" w:rsidRPr="001919A3" w:rsidRDefault="00E06AC5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65</w:t>
            </w:r>
          </w:p>
        </w:tc>
        <w:tc>
          <w:tcPr>
            <w:tcW w:w="1421" w:type="dxa"/>
            <w:vAlign w:val="center"/>
          </w:tcPr>
          <w:p w:rsidR="00FE34C6" w:rsidRPr="001919A3" w:rsidRDefault="00E06AC5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55</w:t>
            </w:r>
          </w:p>
        </w:tc>
      </w:tr>
    </w:tbl>
    <w:p w:rsidR="00706274" w:rsidRPr="001919A3" w:rsidRDefault="00706274" w:rsidP="00DC5F29">
      <w:pPr>
        <w:rPr>
          <w:rFonts w:ascii="Times New Roman" w:hAnsi="Times New Roman" w:cs="Times New Roman"/>
          <w:szCs w:val="21"/>
        </w:rPr>
      </w:pPr>
    </w:p>
    <w:p w:rsidR="0094777F" w:rsidRPr="001919A3" w:rsidRDefault="0094777F" w:rsidP="0094777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 xml:space="preserve">Comparison of </w:t>
      </w:r>
      <w:r w:rsidRPr="001919A3">
        <w:rPr>
          <w:rFonts w:ascii="Times New Roman" w:hAnsi="Times New Roman" w:cs="Times New Roman"/>
          <w:szCs w:val="21"/>
        </w:rPr>
        <w:t>Two</w:t>
      </w:r>
      <w:r w:rsidRPr="001919A3">
        <w:rPr>
          <w:rFonts w:ascii="Times New Roman" w:hAnsi="Times New Roman" w:cs="Times New Roman"/>
          <w:szCs w:val="21"/>
        </w:rPr>
        <w:t>-</w:t>
      </w:r>
      <w:r w:rsidR="002E15DC" w:rsidRPr="001919A3">
        <w:rPr>
          <w:rFonts w:ascii="Times New Roman" w:hAnsi="Times New Roman" w:cs="Times New Roman"/>
          <w:szCs w:val="21"/>
        </w:rPr>
        <w:t>level</w:t>
      </w:r>
      <w:r w:rsidRPr="001919A3">
        <w:rPr>
          <w:rFonts w:ascii="Times New Roman" w:hAnsi="Times New Roman" w:cs="Times New Roman"/>
          <w:szCs w:val="21"/>
        </w:rPr>
        <w:t xml:space="preserve"> Scale and 100 percent Scale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031"/>
        <w:gridCol w:w="1420"/>
      </w:tblGrid>
      <w:tr w:rsidR="003035EF" w:rsidRPr="001919A3" w:rsidTr="007670D3">
        <w:tc>
          <w:tcPr>
            <w:tcW w:w="1809" w:type="dxa"/>
            <w:vAlign w:val="center"/>
          </w:tcPr>
          <w:p w:rsidR="003035EF" w:rsidRPr="001919A3" w:rsidRDefault="003035EF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Two</w:t>
            </w:r>
            <w:r w:rsidRPr="001919A3">
              <w:rPr>
                <w:rFonts w:ascii="Times New Roman" w:hAnsi="Times New Roman" w:cs="Times New Roman"/>
                <w:szCs w:val="21"/>
              </w:rPr>
              <w:t>-</w:t>
            </w:r>
            <w:r w:rsidRPr="001919A3">
              <w:rPr>
                <w:rFonts w:ascii="Times New Roman" w:hAnsi="Times New Roman" w:cs="Times New Roman"/>
                <w:szCs w:val="21"/>
              </w:rPr>
              <w:t>level</w:t>
            </w:r>
            <w:r w:rsidRPr="001919A3">
              <w:rPr>
                <w:rFonts w:ascii="Times New Roman" w:hAnsi="Times New Roman" w:cs="Times New Roman"/>
                <w:szCs w:val="21"/>
              </w:rPr>
              <w:t xml:space="preserve"> Scale</w:t>
            </w:r>
          </w:p>
        </w:tc>
        <w:tc>
          <w:tcPr>
            <w:tcW w:w="1031" w:type="dxa"/>
            <w:vAlign w:val="center"/>
          </w:tcPr>
          <w:p w:rsidR="003035EF" w:rsidRPr="001919A3" w:rsidRDefault="003035EF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Pass</w:t>
            </w:r>
          </w:p>
        </w:tc>
        <w:tc>
          <w:tcPr>
            <w:tcW w:w="1420" w:type="dxa"/>
            <w:vAlign w:val="center"/>
          </w:tcPr>
          <w:p w:rsidR="003035EF" w:rsidRPr="001919A3" w:rsidRDefault="003035EF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Fail</w:t>
            </w:r>
          </w:p>
        </w:tc>
      </w:tr>
      <w:tr w:rsidR="003035EF" w:rsidRPr="001919A3" w:rsidTr="007670D3">
        <w:tc>
          <w:tcPr>
            <w:tcW w:w="1809" w:type="dxa"/>
            <w:vAlign w:val="center"/>
          </w:tcPr>
          <w:p w:rsidR="003035EF" w:rsidRPr="001919A3" w:rsidRDefault="003035EF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100 percent Scale</w:t>
            </w:r>
          </w:p>
        </w:tc>
        <w:tc>
          <w:tcPr>
            <w:tcW w:w="1031" w:type="dxa"/>
            <w:vAlign w:val="center"/>
          </w:tcPr>
          <w:p w:rsidR="003035EF" w:rsidRPr="001919A3" w:rsidRDefault="003035EF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85</w:t>
            </w:r>
          </w:p>
        </w:tc>
        <w:tc>
          <w:tcPr>
            <w:tcW w:w="1420" w:type="dxa"/>
            <w:vAlign w:val="center"/>
          </w:tcPr>
          <w:p w:rsidR="003035EF" w:rsidRPr="001919A3" w:rsidRDefault="003035EF" w:rsidP="007670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919A3">
              <w:rPr>
                <w:rFonts w:ascii="Times New Roman" w:hAnsi="Times New Roman" w:cs="Times New Roman"/>
                <w:szCs w:val="21"/>
              </w:rPr>
              <w:t>5</w:t>
            </w:r>
            <w:r w:rsidRPr="001919A3"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</w:tbl>
    <w:p w:rsidR="00B4325D" w:rsidRPr="001919A3" w:rsidRDefault="00B4325D" w:rsidP="00DC6815">
      <w:pPr>
        <w:rPr>
          <w:rFonts w:ascii="Times New Roman" w:hAnsi="Times New Roman" w:cs="Times New Roman"/>
          <w:szCs w:val="21"/>
        </w:rPr>
      </w:pPr>
    </w:p>
    <w:p w:rsidR="009B2095" w:rsidRPr="001919A3" w:rsidRDefault="009E761B" w:rsidP="009B2095">
      <w:pPr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>3</w:t>
      </w:r>
      <w:r w:rsidR="009B2095" w:rsidRPr="001919A3">
        <w:rPr>
          <w:rFonts w:ascii="Times New Roman" w:hAnsi="Times New Roman" w:cs="Times New Roman"/>
          <w:szCs w:val="21"/>
        </w:rPr>
        <w:t>. Calculation Formula of Course Credits CP:</w:t>
      </w:r>
    </w:p>
    <w:p w:rsidR="009B2095" w:rsidRPr="001919A3" w:rsidRDefault="009B2095" w:rsidP="009B2095">
      <w:pPr>
        <w:spacing w:line="360" w:lineRule="auto"/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>Grades ≥60: Course Credits CP = Course Grades</w:t>
      </w:r>
      <w:r w:rsidRPr="001919A3">
        <w:rPr>
          <w:rFonts w:ascii="Times New Roman" w:hAnsi="Times New Roman" w:cs="Times New Roman"/>
          <w:szCs w:val="21"/>
        </w:rPr>
        <w:t>／</w:t>
      </w:r>
      <w:r w:rsidRPr="001919A3">
        <w:rPr>
          <w:rFonts w:ascii="Times New Roman" w:hAnsi="Times New Roman" w:cs="Times New Roman"/>
          <w:szCs w:val="21"/>
        </w:rPr>
        <w:t>10</w:t>
      </w:r>
      <w:r w:rsidRPr="001919A3">
        <w:rPr>
          <w:rFonts w:ascii="Times New Roman" w:hAnsi="Times New Roman" w:cs="Times New Roman"/>
          <w:szCs w:val="21"/>
        </w:rPr>
        <w:t>－</w:t>
      </w:r>
      <w:r w:rsidRPr="001919A3">
        <w:rPr>
          <w:rFonts w:ascii="Times New Roman" w:hAnsi="Times New Roman" w:cs="Times New Roman"/>
          <w:szCs w:val="21"/>
        </w:rPr>
        <w:t>5</w:t>
      </w:r>
    </w:p>
    <w:p w:rsidR="009B2095" w:rsidRPr="001919A3" w:rsidRDefault="009B2095" w:rsidP="009B2095">
      <w:pPr>
        <w:spacing w:line="360" w:lineRule="auto"/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>Grades</w:t>
      </w:r>
      <w:r w:rsidRPr="001919A3">
        <w:rPr>
          <w:rFonts w:ascii="Times New Roman" w:hAnsi="Times New Roman" w:cs="Times New Roman"/>
          <w:szCs w:val="21"/>
        </w:rPr>
        <w:t>﹤</w:t>
      </w:r>
      <w:r w:rsidRPr="001919A3">
        <w:rPr>
          <w:rFonts w:ascii="Times New Roman" w:hAnsi="Times New Roman" w:cs="Times New Roman"/>
          <w:szCs w:val="21"/>
        </w:rPr>
        <w:t>60: Course Credits CP = 0</w:t>
      </w:r>
    </w:p>
    <w:p w:rsidR="009B2095" w:rsidRPr="001919A3" w:rsidRDefault="009E761B" w:rsidP="009B2095">
      <w:pPr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>4</w:t>
      </w:r>
      <w:r w:rsidR="009B2095" w:rsidRPr="001919A3">
        <w:rPr>
          <w:rFonts w:ascii="Times New Roman" w:hAnsi="Times New Roman" w:cs="Times New Roman"/>
          <w:szCs w:val="21"/>
        </w:rPr>
        <w:t>. Calculation Fo</w:t>
      </w:r>
      <w:bookmarkStart w:id="0" w:name="_GoBack"/>
      <w:bookmarkEnd w:id="0"/>
      <w:r w:rsidR="009B2095" w:rsidRPr="001919A3">
        <w:rPr>
          <w:rFonts w:ascii="Times New Roman" w:hAnsi="Times New Roman" w:cs="Times New Roman"/>
          <w:szCs w:val="21"/>
        </w:rPr>
        <w:t>rmula of Average Course Credits CP:</w:t>
      </w:r>
    </w:p>
    <w:p w:rsidR="009B2095" w:rsidRPr="001919A3" w:rsidRDefault="009B2095" w:rsidP="009B2095">
      <w:pPr>
        <w:spacing w:line="360" w:lineRule="auto"/>
        <w:rPr>
          <w:rFonts w:ascii="Times New Roman" w:hAnsi="Times New Roman" w:cs="Times New Roman"/>
          <w:szCs w:val="21"/>
        </w:rPr>
      </w:pPr>
      <w:r w:rsidRPr="001919A3">
        <w:rPr>
          <w:rFonts w:ascii="Times New Roman" w:hAnsi="Times New Roman" w:cs="Times New Roman"/>
          <w:szCs w:val="21"/>
        </w:rPr>
        <w:t>Average Course Credits CP = ∑ (Course Credits CP × Course Credits)</w:t>
      </w:r>
      <w:r w:rsidRPr="001919A3">
        <w:rPr>
          <w:rFonts w:ascii="Times New Roman" w:hAnsi="Times New Roman" w:cs="Times New Roman"/>
          <w:szCs w:val="21"/>
        </w:rPr>
        <w:t>／</w:t>
      </w:r>
      <w:r w:rsidRPr="001919A3">
        <w:rPr>
          <w:rFonts w:ascii="Times New Roman" w:hAnsi="Times New Roman" w:cs="Times New Roman"/>
          <w:szCs w:val="21"/>
        </w:rPr>
        <w:t>∑ Course Credits</w:t>
      </w:r>
    </w:p>
    <w:p w:rsidR="001919A3" w:rsidRPr="001919A3" w:rsidRDefault="001919A3" w:rsidP="009B2095">
      <w:pPr>
        <w:spacing w:line="360" w:lineRule="auto"/>
        <w:rPr>
          <w:rFonts w:ascii="Times New Roman" w:hAnsi="Times New Roman" w:cs="Times New Roman"/>
          <w:szCs w:val="21"/>
        </w:rPr>
      </w:pPr>
    </w:p>
    <w:p w:rsidR="009B2095" w:rsidRPr="001919A3" w:rsidRDefault="009B2095" w:rsidP="00DC6815">
      <w:pPr>
        <w:rPr>
          <w:rFonts w:ascii="Times New Roman" w:hAnsi="Times New Roman" w:cs="Times New Roman"/>
          <w:szCs w:val="21"/>
        </w:rPr>
      </w:pPr>
    </w:p>
    <w:sectPr w:rsidR="009B2095" w:rsidRPr="00191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4449"/>
    <w:multiLevelType w:val="hybridMultilevel"/>
    <w:tmpl w:val="BB820DEC"/>
    <w:lvl w:ilvl="0" w:tplc="B7107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C5"/>
    <w:rsid w:val="00012C78"/>
    <w:rsid w:val="000E2434"/>
    <w:rsid w:val="0015759B"/>
    <w:rsid w:val="00165528"/>
    <w:rsid w:val="001919A3"/>
    <w:rsid w:val="001C334F"/>
    <w:rsid w:val="002E15DC"/>
    <w:rsid w:val="003035EF"/>
    <w:rsid w:val="00346E4D"/>
    <w:rsid w:val="00570594"/>
    <w:rsid w:val="005835D7"/>
    <w:rsid w:val="00651063"/>
    <w:rsid w:val="006D4E4D"/>
    <w:rsid w:val="00706274"/>
    <w:rsid w:val="007670D3"/>
    <w:rsid w:val="00785A73"/>
    <w:rsid w:val="007D7D16"/>
    <w:rsid w:val="008570E2"/>
    <w:rsid w:val="00891184"/>
    <w:rsid w:val="0094777F"/>
    <w:rsid w:val="0099545D"/>
    <w:rsid w:val="009B2095"/>
    <w:rsid w:val="009E761B"/>
    <w:rsid w:val="00A40D23"/>
    <w:rsid w:val="00AA3D54"/>
    <w:rsid w:val="00AD35D3"/>
    <w:rsid w:val="00AF550D"/>
    <w:rsid w:val="00B4325D"/>
    <w:rsid w:val="00CA2CC3"/>
    <w:rsid w:val="00CB5E11"/>
    <w:rsid w:val="00CF0115"/>
    <w:rsid w:val="00CF342E"/>
    <w:rsid w:val="00D144E9"/>
    <w:rsid w:val="00DC5F29"/>
    <w:rsid w:val="00DC6815"/>
    <w:rsid w:val="00E06AC5"/>
    <w:rsid w:val="00E15DC5"/>
    <w:rsid w:val="00E4503B"/>
    <w:rsid w:val="00E4769C"/>
    <w:rsid w:val="00E95C0C"/>
    <w:rsid w:val="00F6409A"/>
    <w:rsid w:val="00F8124C"/>
    <w:rsid w:val="00F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D54"/>
    <w:pPr>
      <w:ind w:firstLineChars="200" w:firstLine="420"/>
    </w:pPr>
  </w:style>
  <w:style w:type="table" w:styleId="a4">
    <w:name w:val="Table Grid"/>
    <w:basedOn w:val="a1"/>
    <w:uiPriority w:val="59"/>
    <w:rsid w:val="00FE3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D54"/>
    <w:pPr>
      <w:ind w:firstLineChars="200" w:firstLine="420"/>
    </w:pPr>
  </w:style>
  <w:style w:type="table" w:styleId="a4">
    <w:name w:val="Table Grid"/>
    <w:basedOn w:val="a1"/>
    <w:uiPriority w:val="59"/>
    <w:rsid w:val="00FE3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44</cp:revision>
  <dcterms:created xsi:type="dcterms:W3CDTF">2016-10-09T01:56:00Z</dcterms:created>
  <dcterms:modified xsi:type="dcterms:W3CDTF">2016-10-09T02:17:00Z</dcterms:modified>
</cp:coreProperties>
</file>